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90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400.1 Purpose</w:t>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provides the policies on obtaining and filing an application.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400.2 General Policy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application process begins with a request for an application, and ends with determination and notification of the household’s eligibility or ineligibility.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expedited, households must be given an opportunity to participate, if eligible, no later than 30 days from the date an application is filed.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households determined eligible Supplemental Nutrition Assistance Program (SNAP) benefits retroactive to the day of application.  An application must be filed in order to establish and protect the right to retroactive SNAP benefits. This is one of the reasons it is important to encourage households to file an application on the same day they contact the SNAP office.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numPr>
          <w:ilvl w:val="0"/>
          <w:numId w:val="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 interview is not required before a household files the application. </w:t>
      </w:r>
    </w:p>
    <w:p w:rsidR="00000000" w:rsidDel="00000000" w:rsidP="00000000" w:rsidRDefault="00000000" w:rsidRPr="00000000" w14:paraId="0000000E">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Households may file an incomplete application as long as it contains the applicant’s name and address, and is signed by a responsible adult member of the household or an authorized representative.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The case manager must not have close association or kinship with any household member of the case.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80" w:before="0" w:line="240" w:lineRule="auto"/>
        <w:ind w:left="108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Where there is a close association or kinship the staff person must disqualify himself or herself from the eligibility process. </w:t>
      </w:r>
    </w:p>
    <w:p w:rsidR="00000000" w:rsidDel="00000000" w:rsidP="00000000" w:rsidRDefault="00000000" w:rsidRPr="00000000" w14:paraId="000000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80" w:before="0" w:line="240" w:lineRule="auto"/>
        <w:ind w:left="108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When this occurs, the local department must reassign the case to an impartial DSS staff member.</w:t>
      </w:r>
    </w:p>
    <w:p w:rsidR="00000000" w:rsidDel="00000000" w:rsidP="00000000" w:rsidRDefault="00000000" w:rsidRPr="00000000" w14:paraId="000000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80" w:before="0" w:line="240" w:lineRule="auto"/>
        <w:ind w:left="1080" w:right="0" w:hanging="36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The assigned case manager or supervisor may not seek information from or discuss the case with the disqualified staff person.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must offer each person, age 16 and above the opportunity to register to vote.</w:t>
      </w:r>
    </w:p>
    <w:p w:rsidR="00000000" w:rsidDel="00000000" w:rsidP="00000000" w:rsidRDefault="00000000" w:rsidRPr="00000000" w14:paraId="00000016">
      <w:pPr>
        <w:tabs>
          <w:tab w:val="left" w:leader="none" w:pos="900"/>
        </w:tabs>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tabs>
          <w:tab w:val="left" w:leader="none" w:pos="90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400.3 Filing an Application</w:t>
      </w:r>
    </w:p>
    <w:p w:rsidR="00000000" w:rsidDel="00000000" w:rsidP="00000000" w:rsidRDefault="00000000" w:rsidRPr="00000000" w14:paraId="00000018">
      <w:pPr>
        <w:tabs>
          <w:tab w:val="left" w:leader="none" w:pos="27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application forms are as follows: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b w:val="1"/>
          <w:sz w:val="28"/>
          <w:szCs w:val="28"/>
          <w:rtl w:val="0"/>
        </w:rPr>
        <w:t xml:space="preserve">400.3 Filing an Application (continued)</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my</w:t>
      </w:r>
      <w:r w:rsidDel="00000000" w:rsidR="00000000" w:rsidRPr="00000000">
        <w:rPr>
          <w:rFonts w:ascii="Arial" w:cs="Arial" w:eastAsia="Arial" w:hAnsi="Arial"/>
          <w:sz w:val="24"/>
          <w:szCs w:val="24"/>
          <w:rtl w:val="0"/>
        </w:rPr>
        <w:t xml:space="preserve">MDTHINK Consumer Portal;</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sz w:val="24"/>
          <w:szCs w:val="24"/>
          <w:rtl w:val="0"/>
        </w:rPr>
        <w:t xml:space="preserve">Enrollment and Eligibility System/Worker Portal;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DHS/FIA 9711 Request for Assistance Form;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DHS/FIA 9701(Eligibility Determination Document);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DHS/FIA 9702 (Eligibility Determination Document for a One-Person Household); or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forms designed by the local department and approved by FIA.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may file SNAP applications by submitting the appropriate form to the local office in person, through an authorized representative, electronically, by mail, by fax or by another electronic method.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numPr>
          <w:ilvl w:val="0"/>
          <w:numId w:val="3"/>
        </w:numPr>
        <w:ind w:left="72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Residents of drug addict/alcohol treatment centers and group homes may apply only through a representative who is an employee of the center.</w:t>
      </w:r>
      <w:r w:rsidDel="00000000" w:rsidR="00000000" w:rsidRPr="00000000">
        <w:rPr>
          <w:rtl w:val="0"/>
        </w:rPr>
      </w:r>
    </w:p>
    <w:p w:rsidR="00000000" w:rsidDel="00000000" w:rsidP="00000000" w:rsidRDefault="00000000" w:rsidRPr="00000000" w14:paraId="0000002C">
      <w:pPr>
        <w:ind w:left="3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Residents of other group living arrangements may apply and be certified on their own behalf through the use of an authorized representative of their own choosing or by a representative employed and designated by the group living arrangement.  The group living arrangement and the applicant’s mental and physical ability to handle his or her own affairs can determine which method is used.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SNAP recipient convicted of a volume dealer drug offense or drug kingpin offense for a crime committed after August 22, 1996, is: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00"/>
          <w:tab w:val="left" w:leader="none" w:pos="180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Ineligible for SNAP for one year from the date of conviction, and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00"/>
          <w:tab w:val="left" w:leader="none" w:pos="180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receive SNAP after that year, the applicant must meet all other eligibility requirements and is subject to testing and treatment for substance abuse for a period of two years starting from the later of the date when the custodial parent:</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900"/>
          <w:tab w:val="left" w:leader="none" w:pos="180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released from incarceration,</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900"/>
          <w:tab w:val="left" w:leader="none" w:pos="180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Completes any term of probation,</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900"/>
          <w:tab w:val="left" w:leader="none" w:pos="180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Completes any term of parole and mandatory supervision.</w:t>
      </w:r>
    </w:p>
    <w:p w:rsidR="00000000" w:rsidDel="00000000" w:rsidP="00000000" w:rsidRDefault="00000000" w:rsidRPr="00000000" w14:paraId="00000037">
      <w:pPr>
        <w:tabs>
          <w:tab w:val="left" w:leader="none" w:pos="90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have the right to file an application on the same day they contact the local office.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offices will encourage households to file an application the same day the household or its representative contacts the local office electronically, in person, or by telephone.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forms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readily accessible to potentially eligible households and to groups or organizations involved in outreach efforts.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office will give an application to anyone requesting one immediately or give the potential applicant a seat in the myDHR lab as soon as one is available and help them apply the same day.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400.4 Initial Contact with Potentially Eligible Households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Advise the household of its filing rights (see Section 400.3).  Give the household other information as needed or requested.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400.41 In-Person Contact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the household to file an application on the date of initial contact.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that the application is “completed and signed” - contains at least the applicant’s name, address, and contains the signature (written or electronic) of an adult household member or authorized representative.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400.42 Telephone Contact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Advise the household of its filing rights.  Give other information as needed or requested.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the household to go on myDHR or come to the office to file an application the same day.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 an application to households who request one.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400.43 Mail Contact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household’s request is for SNAP assistance, mail the application form (and other available appropriate information such as pamphlets, informational literature, etc.) to the household on the same day.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applications returned to the local department are “completed and signed.”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400.44 Filing an Electronic Application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filing an application by submitting the forms in person, through an authorized representative or the mail, the household can file a SNAP application by faxing or other electronic device a signed application to the local department.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 myDHR application, the date of filing is the date the local department receives the application with an electronic signature.  </w:t>
      </w:r>
    </w:p>
    <w:p w:rsidR="00000000" w:rsidDel="00000000" w:rsidP="00000000" w:rsidRDefault="00000000" w:rsidRPr="00000000" w14:paraId="0000005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E">
      <w:pPr>
        <w:numPr>
          <w:ilvl w:val="0"/>
          <w:numId w:val="21"/>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Local departments must hold the downloaded myDHR application for 60 days while waiting for the customer to mail, fax, or hand-deliver the signature page if the applicant has not signed electronically.  The local department can destroy the myDHR application after 60 days if the signature page is not received and there is no electronic signature.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must document the date the application was filed by stamping or noting on the application the date of receipt in the local office.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the household (by phone or mail) about additional information (if required) and other available appropriate information such as pamphlets, informational literature, etc., on the same day the application is received.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the household by phone or mail to schedule an in-office interview or conduct a telephone interview. Telephone interviews are available to all applicants or recipients without the need to show hardship. Local departments must provide a face-to-face interview if requested by the household or its authorized representative.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expedited processing standards are met for any household potentially eligible for expedited processing.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400.5 Applicant Contacts the Wrong Office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has contacted the wrong district or county office, (the household is not living in that district or county), inform the household of the appropriate office location.  Help the applicant file through myDHR or by faxing or scanning and emailing their application to the correct office.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provide the household with an application unless the household is living in another state.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provide any additional information as needed or requested.  For example: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Advise the household of its filing rights.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other information as needed or requested.</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the household to apply online at myDHR or contact the appropriate office – give the household the address and telephone number of that office.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Offer to forward the “completed and signed” application form to the appropriate office the same day it is submitted.  Forward the application the same day by any means that ensures the application arrives at the correct office the day it is forwarded (i.e. fax or email).</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 the application to the appropriate office on the same day if the household has mailed its application to the wrong office within a project area. The application can be forwarded by any means that ensures the application arrives at the correct office the day it is forwarded (i.e. fax or scan the application into ECMS and email </w:t>
      </w:r>
      <w:r w:rsidDel="00000000" w:rsidR="00000000" w:rsidRPr="00000000">
        <w:rPr>
          <w:rFonts w:ascii="Arial" w:cs="Arial" w:eastAsia="Arial" w:hAnsi="Arial"/>
          <w:sz w:val="24"/>
          <w:szCs w:val="24"/>
          <w:rtl w:val="0"/>
        </w:rPr>
        <w:t xml:space="preserve">it to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correct local department).</w:t>
      </w:r>
    </w:p>
    <w:p w:rsidR="00000000" w:rsidDel="00000000" w:rsidP="00000000" w:rsidRDefault="00000000" w:rsidRPr="00000000" w14:paraId="0000007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400.6 Providing a Copy of the Application to the Household</w:t>
      </w:r>
    </w:p>
    <w:p w:rsidR="00000000" w:rsidDel="00000000" w:rsidP="00000000" w:rsidRDefault="00000000" w:rsidRPr="00000000" w14:paraId="0000007B">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7C">
      <w:pPr>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local department must provide the household with:</w:t>
      </w:r>
    </w:p>
    <w:p w:rsidR="00000000" w:rsidDel="00000000" w:rsidP="00000000" w:rsidRDefault="00000000" w:rsidRPr="00000000" w14:paraId="0000007D">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numPr>
          <w:ilvl w:val="0"/>
          <w:numId w:val="1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opportunity to review the Application when the household applies for SNAP benefits at the local department and has a face to face interview;</w:t>
      </w:r>
    </w:p>
    <w:p w:rsidR="00000000" w:rsidDel="00000000" w:rsidP="00000000" w:rsidRDefault="00000000" w:rsidRPr="00000000" w14:paraId="0000007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0">
      <w:pPr>
        <w:numPr>
          <w:ilvl w:val="0"/>
          <w:numId w:val="12"/>
        </w:numPr>
        <w:tabs>
          <w:tab w:val="left" w:leader="none" w:pos="90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copy of the Application for their personal records.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tabs>
          <w:tab w:val="left" w:leader="none" w:pos="900"/>
        </w:tabs>
        <w:rPr>
          <w:rFonts w:ascii="Arial" w:cs="Arial" w:eastAsia="Arial" w:hAnsi="Arial"/>
          <w:sz w:val="24"/>
          <w:szCs w:val="24"/>
        </w:rPr>
      </w:pPr>
      <w:r w:rsidDel="00000000" w:rsidR="00000000" w:rsidRPr="00000000">
        <w:rPr>
          <w:rFonts w:ascii="Arial" w:cs="Arial" w:eastAsia="Arial" w:hAnsi="Arial"/>
          <w:sz w:val="24"/>
          <w:szCs w:val="24"/>
          <w:rtl w:val="0"/>
        </w:rPr>
        <w:t xml:space="preserve">Households have the option of receiving a copy of any completed electronic application, by accessing the myMDTHINK Consumer Portal, in its electronic format.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4">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400.7</w:t>
        <w:tab/>
        <w:t xml:space="preserve"> Withdrawing an Application</w:t>
      </w:r>
    </w:p>
    <w:p w:rsidR="00000000" w:rsidDel="00000000" w:rsidP="00000000" w:rsidRDefault="00000000" w:rsidRPr="00000000" w14:paraId="0000008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6">
      <w:pPr>
        <w:rPr>
          <w:rFonts w:ascii="Arial" w:cs="Arial" w:eastAsia="Arial" w:hAnsi="Arial"/>
          <w:sz w:val="24"/>
          <w:szCs w:val="24"/>
        </w:rPr>
      </w:pPr>
      <w:r w:rsidDel="00000000" w:rsidR="00000000" w:rsidRPr="00000000">
        <w:rPr>
          <w:rFonts w:ascii="Arial" w:cs="Arial" w:eastAsia="Arial" w:hAnsi="Arial"/>
          <w:sz w:val="24"/>
          <w:szCs w:val="24"/>
          <w:rtl w:val="0"/>
        </w:rPr>
        <w:t xml:space="preserve">The withdrawal of a SNAP application must be a voluntary action by the customer.  </w:t>
      </w:r>
    </w:p>
    <w:p w:rsidR="00000000" w:rsidDel="00000000" w:rsidP="00000000" w:rsidRDefault="00000000" w:rsidRPr="00000000" w14:paraId="0000008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8">
      <w:pPr>
        <w:numPr>
          <w:ilvl w:val="0"/>
          <w:numId w:val="16"/>
        </w:numPr>
        <w:tabs>
          <w:tab w:val="left" w:leader="none" w:pos="36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Customers have the right to have their applications reviewed and eligibility determined based on all factors of eligibility. </w:t>
      </w:r>
    </w:p>
    <w:p w:rsidR="00000000" w:rsidDel="00000000" w:rsidP="00000000" w:rsidRDefault="00000000" w:rsidRPr="00000000" w14:paraId="00000089">
      <w:pPr>
        <w:tabs>
          <w:tab w:val="left" w:leader="none" w:pos="360"/>
        </w:tabs>
        <w:ind w:left="36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A">
      <w:pPr>
        <w:numPr>
          <w:ilvl w:val="0"/>
          <w:numId w:val="16"/>
        </w:numPr>
        <w:tabs>
          <w:tab w:val="left" w:leader="none" w:pos="36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Case managers </w:t>
      </w:r>
      <w:r w:rsidDel="00000000" w:rsidR="00000000" w:rsidRPr="00000000">
        <w:rPr>
          <w:rFonts w:ascii="Arial" w:cs="Arial" w:eastAsia="Arial" w:hAnsi="Arial"/>
          <w:b w:val="1"/>
          <w:sz w:val="24"/>
          <w:szCs w:val="24"/>
          <w:u w:val="single"/>
          <w:rtl w:val="0"/>
        </w:rPr>
        <w:t xml:space="preserve">must not</w:t>
      </w:r>
      <w:r w:rsidDel="00000000" w:rsidR="00000000" w:rsidRPr="00000000">
        <w:rPr>
          <w:rFonts w:ascii="Arial" w:cs="Arial" w:eastAsia="Arial" w:hAnsi="Arial"/>
          <w:sz w:val="24"/>
          <w:szCs w:val="24"/>
          <w:rtl w:val="0"/>
        </w:rPr>
        <w:t xml:space="preserve"> make an informal decision on the SNAP application by suggesting customers withdraw their applications, even if the customer appears to be ineligible because of it:</w:t>
      </w:r>
    </w:p>
    <w:p w:rsidR="00000000" w:rsidDel="00000000" w:rsidP="00000000" w:rsidRDefault="00000000" w:rsidRPr="00000000" w14:paraId="0000008B">
      <w:pPr>
        <w:tabs>
          <w:tab w:val="left" w:leader="none" w:pos="36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C">
      <w:pPr>
        <w:numPr>
          <w:ilvl w:val="0"/>
          <w:numId w:val="17"/>
        </w:numPr>
        <w:tabs>
          <w:tab w:val="left" w:leader="none" w:pos="36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 an eligibility decision made outside the scope of monitoring and record keeping, and </w:t>
      </w:r>
    </w:p>
    <w:p w:rsidR="00000000" w:rsidDel="00000000" w:rsidP="00000000" w:rsidRDefault="00000000" w:rsidRPr="00000000" w14:paraId="0000008D">
      <w:pPr>
        <w:tabs>
          <w:tab w:val="left" w:leader="none" w:pos="360"/>
        </w:tabs>
        <w:ind w:lef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E">
      <w:pPr>
        <w:numPr>
          <w:ilvl w:val="0"/>
          <w:numId w:val="17"/>
        </w:numPr>
        <w:tabs>
          <w:tab w:val="left" w:leader="none" w:pos="36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Impinges on the customer’s rights to have their eligibility reviewed.</w:t>
      </w:r>
    </w:p>
    <w:p w:rsidR="00000000" w:rsidDel="00000000" w:rsidP="00000000" w:rsidRDefault="00000000" w:rsidRPr="00000000" w14:paraId="0000008F">
      <w:pPr>
        <w:tabs>
          <w:tab w:val="left" w:leader="none" w:pos="36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0">
      <w:pPr>
        <w:numPr>
          <w:ilvl w:val="0"/>
          <w:numId w:val="19"/>
        </w:numPr>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Case managers must:</w:t>
      </w:r>
    </w:p>
    <w:p w:rsidR="00000000" w:rsidDel="00000000" w:rsidP="00000000" w:rsidRDefault="00000000" w:rsidRPr="00000000" w14:paraId="00000091">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customers to file an application for SNAP even if they do not want to file a cash assistance application.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customers to file an application at first contact with the local department.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Remember the decision to withdraw an application must be the customer’s decision for the customer’s own reasons.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case record clear and concise narration as to why the customer withdrew the application and that contact was made with the household to confirm the withdrawal.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Advise customers of the right to reapply at any time after a withdrawal.</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38"/>
      <w:gridCol w:w="1530"/>
      <w:gridCol w:w="2088"/>
      <w:tblGridChange w:id="0">
        <w:tblGrid>
          <w:gridCol w:w="5238"/>
          <w:gridCol w:w="1530"/>
          <w:gridCol w:w="2088"/>
        </w:tblGrid>
      </w:tblGridChange>
    </w:tblGrid>
    <w:tr>
      <w:trPr>
        <w:cantSplit w:val="0"/>
        <w:trHeight w:val="620" w:hRule="atLeast"/>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2060"/>
              <w:sz w:val="24"/>
              <w:szCs w:val="24"/>
              <w:u w:val="none"/>
              <w:shd w:fill="auto" w:val="clear"/>
              <w:vertAlign w:val="baseline"/>
            </w:rPr>
          </w:pPr>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DEPARTMENT OF HUMAN SERVICES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FAMILY INVESTMENT ADMINISTRATION</w:t>
          </w:r>
          <w:r w:rsidDel="00000000" w:rsidR="00000000" w:rsidRPr="00000000">
            <w:rPr>
              <w:rtl w:val="0"/>
            </w:rPr>
          </w:r>
        </w:p>
      </w:tc>
      <w:tc>
        <w:tcPr>
          <w:gridSpan w:val="2"/>
        </w:tcPr>
        <w:p w:rsidR="00000000" w:rsidDel="00000000" w:rsidP="00000000" w:rsidRDefault="00000000" w:rsidRPr="00000000" w14:paraId="000000A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SUPPLEMENTAL NUTRITION ASSISTANCE PROGRAM (SNAP) MANUAL</w:t>
          </w:r>
        </w:p>
      </w:tc>
    </w:tr>
    <w:tr>
      <w:trPr>
        <w:cantSplit w:val="0"/>
        <w:trHeight w:val="431" w:hRule="atLeast"/>
        <w:tblHeader w:val="0"/>
      </w:trPr>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FILING AN APPLICATION</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400</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upperLetter"/>
      <w:lvlText w:val="%1."/>
      <w:lvlJc w:val="left"/>
      <w:pPr>
        <w:ind w:left="360" w:hanging="360"/>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5"/>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1440" w:hanging="72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99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36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360" w:hanging="360"/>
      </w:pPr>
      <w:rPr>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upp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1440" w:hanging="72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7"/>
      <w:numFmt w:val="upperLetter"/>
      <w:lvlText w:val="%1."/>
      <w:lvlJc w:val="left"/>
      <w:pPr>
        <w:ind w:left="360" w:hanging="360"/>
      </w:pPr>
      <w:rPr>
        <w:rFonts w:ascii="Arial" w:cs="Arial" w:eastAsia="Arial" w:hAnsi="Arial"/>
        <w:b w:val="0"/>
        <w:i w:val="0"/>
        <w:color w:val="000000"/>
        <w:sz w:val="24"/>
        <w:szCs w:val="24"/>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3"/>
      <w:numFmt w:val="upperLetter"/>
      <w:lvlText w:val="%1."/>
      <w:lvlJc w:val="left"/>
      <w:pPr>
        <w:ind w:left="208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1440" w:hanging="72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spacing w:after="60" w:before="240" w:lineRule="auto"/>
      <w:ind w:left="36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pPr>
    <w:rPr>
      <w:rFonts w:ascii="Arial" w:cs="Arial" w:eastAsia="Arial" w:hAnsi="Arial"/>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44E7"/>
  </w:style>
  <w:style w:type="paragraph" w:styleId="Heading1">
    <w:name w:val="heading 1"/>
    <w:basedOn w:val="Normal"/>
    <w:next w:val="Normal"/>
    <w:qFormat w:val="1"/>
    <w:rsid w:val="008F44E7"/>
    <w:pPr>
      <w:keepNext w:val="1"/>
      <w:outlineLvl w:val="0"/>
    </w:pPr>
    <w:rPr>
      <w:sz w:val="24"/>
    </w:rPr>
  </w:style>
  <w:style w:type="paragraph" w:styleId="Heading2">
    <w:name w:val="heading 2"/>
    <w:basedOn w:val="Normal"/>
    <w:next w:val="Normal"/>
    <w:qFormat w:val="1"/>
    <w:rsid w:val="008F44E7"/>
    <w:pPr>
      <w:keepNext w:val="1"/>
      <w:numPr>
        <w:numId w:val="1"/>
      </w:numPr>
      <w:spacing w:after="60" w:before="240"/>
      <w:outlineLvl w:val="1"/>
    </w:pPr>
    <w:rPr>
      <w:rFonts w:ascii="Arial" w:hAnsi="Arial"/>
      <w:b w:val="1"/>
      <w:i w:val="1"/>
      <w:sz w:val="24"/>
    </w:rPr>
  </w:style>
  <w:style w:type="paragraph" w:styleId="Heading3">
    <w:name w:val="heading 3"/>
    <w:basedOn w:val="Normal"/>
    <w:next w:val="Normal"/>
    <w:qFormat w:val="1"/>
    <w:rsid w:val="008F44E7"/>
    <w:pPr>
      <w:keepNext w:val="1"/>
      <w:spacing w:after="60" w:before="240"/>
      <w:outlineLvl w:val="2"/>
    </w:pPr>
    <w:rPr>
      <w:rFonts w:ascii="Arial" w:hAnsi="Arial"/>
      <w:sz w:val="24"/>
    </w:rPr>
  </w:style>
  <w:style w:type="paragraph" w:styleId="Heading4">
    <w:name w:val="heading 4"/>
    <w:basedOn w:val="Normal"/>
    <w:next w:val="Normal"/>
    <w:qFormat w:val="1"/>
    <w:rsid w:val="008F44E7"/>
    <w:pPr>
      <w:keepNext w:val="1"/>
      <w:spacing w:after="60" w:before="240"/>
      <w:outlineLvl w:val="3"/>
    </w:pPr>
    <w:rPr>
      <w:rFonts w:ascii="Arial" w:hAnsi="Arial"/>
      <w:b w:val="1"/>
      <w:sz w:val="24"/>
    </w:rPr>
  </w:style>
  <w:style w:type="paragraph" w:styleId="Heading5">
    <w:name w:val="heading 5"/>
    <w:basedOn w:val="Normal"/>
    <w:next w:val="Normal"/>
    <w:qFormat w:val="1"/>
    <w:rsid w:val="008F44E7"/>
    <w:pPr>
      <w:spacing w:after="60" w:before="240"/>
      <w:outlineLvl w:val="4"/>
    </w:pPr>
    <w:rPr>
      <w:sz w:val="22"/>
    </w:rPr>
  </w:style>
  <w:style w:type="paragraph" w:styleId="Heading6">
    <w:name w:val="heading 6"/>
    <w:basedOn w:val="Normal"/>
    <w:next w:val="Normal"/>
    <w:qFormat w:val="1"/>
    <w:rsid w:val="008F44E7"/>
    <w:pPr>
      <w:spacing w:after="60" w:before="240"/>
      <w:outlineLvl w:val="5"/>
    </w:pPr>
    <w:rPr>
      <w:i w:val="1"/>
      <w:sz w:val="22"/>
    </w:rPr>
  </w:style>
  <w:style w:type="paragraph" w:styleId="Heading7">
    <w:name w:val="heading 7"/>
    <w:basedOn w:val="Normal"/>
    <w:next w:val="Normal"/>
    <w:qFormat w:val="1"/>
    <w:rsid w:val="008F44E7"/>
    <w:pPr>
      <w:spacing w:after="60" w:before="240"/>
      <w:outlineLvl w:val="6"/>
    </w:pPr>
    <w:rPr>
      <w:rFonts w:ascii="Arial" w:hAnsi="Arial"/>
    </w:rPr>
  </w:style>
  <w:style w:type="paragraph" w:styleId="Heading8">
    <w:name w:val="heading 8"/>
    <w:basedOn w:val="Normal"/>
    <w:next w:val="Normal"/>
    <w:qFormat w:val="1"/>
    <w:rsid w:val="008F44E7"/>
    <w:pPr>
      <w:spacing w:after="60" w:before="240"/>
      <w:outlineLvl w:val="7"/>
    </w:pPr>
    <w:rPr>
      <w:rFonts w:ascii="Arial" w:hAnsi="Arial"/>
      <w:i w:val="1"/>
    </w:rPr>
  </w:style>
  <w:style w:type="paragraph" w:styleId="Heading9">
    <w:name w:val="heading 9"/>
    <w:basedOn w:val="Normal"/>
    <w:next w:val="Normal"/>
    <w:qFormat w:val="1"/>
    <w:rsid w:val="008F44E7"/>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rsid w:val="008F44E7"/>
    <w:pPr>
      <w:ind w:left="720"/>
      <w:jc w:val="both"/>
    </w:pPr>
    <w:rPr>
      <w:b w:val="1"/>
      <w:sz w:val="24"/>
    </w:rPr>
  </w:style>
  <w:style w:type="paragraph" w:styleId="BodyTextIndent2">
    <w:name w:val="Body Text Indent 2"/>
    <w:basedOn w:val="Normal"/>
    <w:rsid w:val="008F44E7"/>
    <w:pPr>
      <w:ind w:left="720"/>
      <w:jc w:val="both"/>
    </w:pPr>
    <w:rPr>
      <w:sz w:val="24"/>
    </w:rPr>
  </w:style>
  <w:style w:type="paragraph" w:styleId="Header">
    <w:name w:val="header"/>
    <w:basedOn w:val="Normal"/>
    <w:rsid w:val="008F44E7"/>
    <w:pPr>
      <w:tabs>
        <w:tab w:val="center" w:pos="4320"/>
        <w:tab w:val="right" w:pos="8640"/>
      </w:tabs>
    </w:pPr>
  </w:style>
  <w:style w:type="paragraph" w:styleId="Footer">
    <w:name w:val="footer"/>
    <w:basedOn w:val="Normal"/>
    <w:rsid w:val="008F44E7"/>
    <w:pPr>
      <w:tabs>
        <w:tab w:val="center" w:pos="4320"/>
        <w:tab w:val="right" w:pos="8640"/>
      </w:tabs>
    </w:pPr>
  </w:style>
  <w:style w:type="character" w:styleId="PageNumber">
    <w:name w:val="page number"/>
    <w:basedOn w:val="DefaultParagraphFont"/>
    <w:rsid w:val="008F44E7"/>
  </w:style>
  <w:style w:type="paragraph" w:styleId="BodyText">
    <w:name w:val="Body Text"/>
    <w:basedOn w:val="Normal"/>
    <w:rsid w:val="008F44E7"/>
    <w:rPr>
      <w:rFonts w:ascii="Arial" w:hAnsi="Arial"/>
      <w:sz w:val="24"/>
    </w:rPr>
  </w:style>
  <w:style w:type="paragraph" w:styleId="BodyTextIndent3">
    <w:name w:val="Body Text Indent 3"/>
    <w:basedOn w:val="Normal"/>
    <w:rsid w:val="008F44E7"/>
    <w:pPr>
      <w:tabs>
        <w:tab w:val="left" w:pos="720"/>
      </w:tabs>
      <w:ind w:left="990" w:hanging="1080"/>
    </w:pPr>
    <w:rPr>
      <w:rFonts w:ascii="Arial" w:hAnsi="Arial"/>
      <w:b w:val="1"/>
      <w:sz w:val="28"/>
    </w:rPr>
  </w:style>
  <w:style w:type="paragraph" w:styleId="BalloonText">
    <w:name w:val="Balloon Text"/>
    <w:basedOn w:val="Normal"/>
    <w:semiHidden w:val="1"/>
    <w:rsid w:val="00EE7123"/>
    <w:rPr>
      <w:rFonts w:ascii="Tahoma" w:cs="Tahoma" w:hAnsi="Tahoma"/>
      <w:sz w:val="16"/>
      <w:szCs w:val="16"/>
    </w:rPr>
  </w:style>
  <w:style w:type="paragraph" w:styleId="ListParagraph">
    <w:name w:val="List Paragraph"/>
    <w:basedOn w:val="Normal"/>
    <w:uiPriority w:val="34"/>
    <w:qFormat w:val="1"/>
    <w:rsid w:val="00FF11D0"/>
    <w:pPr>
      <w:ind w:left="720"/>
    </w:pPr>
  </w:style>
  <w:style w:type="character" w:styleId="CommentReference">
    <w:name w:val="annotation reference"/>
    <w:basedOn w:val="DefaultParagraphFont"/>
    <w:rsid w:val="001A0A16"/>
    <w:rPr>
      <w:sz w:val="16"/>
      <w:szCs w:val="16"/>
    </w:rPr>
  </w:style>
  <w:style w:type="paragraph" w:styleId="CommentText">
    <w:name w:val="annotation text"/>
    <w:basedOn w:val="Normal"/>
    <w:link w:val="CommentTextChar"/>
    <w:rsid w:val="001A0A16"/>
  </w:style>
  <w:style w:type="character" w:styleId="CommentTextChar" w:customStyle="1">
    <w:name w:val="Comment Text Char"/>
    <w:basedOn w:val="DefaultParagraphFont"/>
    <w:link w:val="CommentText"/>
    <w:rsid w:val="001A0A16"/>
  </w:style>
  <w:style w:type="paragraph" w:styleId="CommentSubject">
    <w:name w:val="annotation subject"/>
    <w:basedOn w:val="CommentText"/>
    <w:next w:val="CommentText"/>
    <w:link w:val="CommentSubjectChar"/>
    <w:rsid w:val="001A0A16"/>
    <w:rPr>
      <w:b w:val="1"/>
      <w:bCs w:val="1"/>
    </w:rPr>
  </w:style>
  <w:style w:type="character" w:styleId="CommentSubjectChar" w:customStyle="1">
    <w:name w:val="Comment Subject Char"/>
    <w:basedOn w:val="CommentTextChar"/>
    <w:link w:val="CommentSubject"/>
    <w:rsid w:val="001A0A1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p1SW91zz5eh1C+JQSULBJMQNg==">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2020-08-16T16:54:00Z</dcterms:created>
  <dc:creator>Office of Policy and Research</dc:creator>
</cp:coreProperties>
</file>